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Jim Nightshade" w:cs="Jim Nightshade" w:eastAsia="Jim Nightshade" w:hAnsi="Jim Nightshade"/>
          <w:b w:val="1"/>
          <w:sz w:val="52"/>
          <w:szCs w:val="52"/>
        </w:rPr>
      </w:pPr>
      <w:r w:rsidDel="00000000" w:rsidR="00000000" w:rsidRPr="00000000">
        <w:rPr>
          <w:rFonts w:ascii="Jim Nightshade" w:cs="Jim Nightshade" w:eastAsia="Jim Nightshade" w:hAnsi="Jim Nightshade"/>
          <w:b w:val="1"/>
          <w:sz w:val="52"/>
          <w:szCs w:val="52"/>
          <w:rtl w:val="0"/>
        </w:rPr>
        <w:t xml:space="preserve">Powerful  Understanding</w:t>
      </w:r>
      <w:r w:rsidDel="00000000" w:rsidR="00000000" w:rsidRPr="00000000">
        <w:drawing>
          <wp:anchor allowOverlap="1" behindDoc="0" distB="0" distT="0" distL="114300" distR="114300" hidden="0" layoutInCell="1" locked="0" relativeHeight="0" simplePos="0">
            <wp:simplePos x="0" y="0"/>
            <wp:positionH relativeFrom="margin">
              <wp:posOffset>3857625</wp:posOffset>
            </wp:positionH>
            <wp:positionV relativeFrom="paragraph">
              <wp:posOffset>0</wp:posOffset>
            </wp:positionV>
            <wp:extent cx="1819275" cy="1062038"/>
            <wp:effectExtent b="0" l="0" r="0" t="0"/>
            <wp:wrapSquare wrapText="bothSides" distB="0" distT="0" distL="114300" distR="114300"/>
            <wp:docPr descr="A picture containing book, text&#10;&#10;Description generated with very high confidence" id="1" name="image2.jpg"/>
            <a:graphic>
              <a:graphicData uri="http://schemas.openxmlformats.org/drawingml/2006/picture">
                <pic:pic>
                  <pic:nvPicPr>
                    <pic:cNvPr descr="A picture containing book, text&#10;&#10;Description generated with very high confidence" id="0" name="image2.jpg"/>
                    <pic:cNvPicPr preferRelativeResize="0"/>
                  </pic:nvPicPr>
                  <pic:blipFill>
                    <a:blip r:embed="rId6"/>
                    <a:srcRect b="0" l="0" r="0" t="0"/>
                    <a:stretch>
                      <a:fillRect/>
                    </a:stretch>
                  </pic:blipFill>
                  <pic:spPr>
                    <a:xfrm>
                      <a:off x="0" y="0"/>
                      <a:ext cx="1819275" cy="1062038"/>
                    </a:xfrm>
                    <a:prstGeom prst="rect"/>
                    <a:ln/>
                  </pic:spPr>
                </pic:pic>
              </a:graphicData>
            </a:graphic>
          </wp:anchor>
        </w:drawing>
      </w:r>
    </w:p>
    <w:p w:rsidR="00000000" w:rsidDel="00000000" w:rsidP="00000000" w:rsidRDefault="00000000" w:rsidRPr="00000000" w14:paraId="00000001">
      <w:pPr>
        <w:contextualSpacing w:val="0"/>
        <w:rPr>
          <w:rFonts w:ascii="Jim Nightshade" w:cs="Jim Nightshade" w:eastAsia="Jim Nightshade" w:hAnsi="Jim Nightshade"/>
          <w:b w:val="1"/>
          <w:sz w:val="56"/>
          <w:szCs w:val="56"/>
        </w:rPr>
      </w:pPr>
      <w:r w:rsidDel="00000000" w:rsidR="00000000" w:rsidRPr="00000000">
        <w:rPr>
          <w:rFonts w:ascii="Georgia" w:cs="Georgia" w:eastAsia="Georgia" w:hAnsi="Georgia"/>
          <w:i w:val="1"/>
          <w:sz w:val="28"/>
          <w:szCs w:val="28"/>
          <w:rtl w:val="0"/>
        </w:rPr>
        <w:t xml:space="preserve"> Helping students explore, question and</w:t>
      </w:r>
      <w:r w:rsidDel="00000000" w:rsidR="00000000" w:rsidRPr="00000000">
        <w:rPr>
          <w:rtl w:val="0"/>
        </w:rPr>
      </w:r>
    </w:p>
    <w:p w:rsidR="00000000" w:rsidDel="00000000" w:rsidP="00000000" w:rsidRDefault="00000000" w:rsidRPr="00000000" w14:paraId="00000002">
      <w:pPr>
        <w:contextualSpacing w:val="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 transform their understanding of themselves, </w:t>
      </w:r>
    </w:p>
    <w:p w:rsidR="00000000" w:rsidDel="00000000" w:rsidP="00000000" w:rsidRDefault="00000000" w:rsidRPr="00000000" w14:paraId="00000003">
      <w:pPr>
        <w:contextualSpacing w:val="0"/>
        <w:rPr>
          <w:rFonts w:ascii="Georgia" w:cs="Georgia" w:eastAsia="Georgia" w:hAnsi="Georgia"/>
          <w:b w:val="1"/>
          <w:sz w:val="32"/>
          <w:szCs w:val="32"/>
        </w:rPr>
      </w:pPr>
      <w:r w:rsidDel="00000000" w:rsidR="00000000" w:rsidRPr="00000000">
        <w:rPr>
          <w:rFonts w:ascii="Georgia" w:cs="Georgia" w:eastAsia="Georgia" w:hAnsi="Georgia"/>
          <w:i w:val="1"/>
          <w:sz w:val="28"/>
          <w:szCs w:val="28"/>
          <w:rtl w:val="0"/>
        </w:rPr>
        <w:t xml:space="preserve"> others and the world</w:t>
      </w:r>
      <w:r w:rsidDel="00000000" w:rsidR="00000000" w:rsidRPr="00000000">
        <w:rPr>
          <w:rFonts w:ascii="Georgia" w:cs="Georgia" w:eastAsia="Georgia" w:hAnsi="Georgia"/>
          <w:i w:val="1"/>
          <w:sz w:val="20"/>
          <w:szCs w:val="20"/>
          <w:rtl w:val="0"/>
        </w:rPr>
        <w:t xml:space="preserv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004">
      <w:pPr>
        <w:ind w:left="0" w:firstLine="0"/>
        <w:contextualSpacing w:val="0"/>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05">
      <w:pPr>
        <w:ind w:left="0" w:firstLine="0"/>
        <w:contextualSpacing w:val="0"/>
        <w:rPr>
          <w:rFonts w:ascii="Georgia" w:cs="Georgia" w:eastAsia="Georgia" w:hAnsi="Georgia"/>
          <w:b w:val="1"/>
          <w:sz w:val="20"/>
          <w:szCs w:val="20"/>
        </w:rPr>
      </w:pPr>
      <w:r w:rsidDel="00000000" w:rsidR="00000000" w:rsidRPr="00000000">
        <w:rPr>
          <w:rFonts w:ascii="Georgia" w:cs="Georgia" w:eastAsia="Georgia" w:hAnsi="Georgia"/>
          <w:b w:val="1"/>
          <w:sz w:val="32"/>
          <w:szCs w:val="32"/>
          <w:rtl w:val="0"/>
        </w:rPr>
        <w:t xml:space="preserve">Adrienne Gear</w:t>
        <w:tab/>
        <w:tab/>
        <w:tab/>
      </w:r>
      <w:r w:rsidDel="00000000" w:rsidR="00000000" w:rsidRPr="00000000">
        <w:rPr>
          <w:rFonts w:ascii="Georgia" w:cs="Georgia" w:eastAsia="Georgia" w:hAnsi="Georgia"/>
          <w:b w:val="1"/>
          <w:sz w:val="20"/>
          <w:szCs w:val="20"/>
          <w:rtl w:val="0"/>
        </w:rPr>
        <w:t xml:space="preserve">Audience:  K-9 School teams encouraged </w:t>
      </w:r>
    </w:p>
    <w:p w:rsidR="00000000" w:rsidDel="00000000" w:rsidP="00000000" w:rsidRDefault="00000000" w:rsidRPr="00000000" w14:paraId="00000006">
      <w:pPr>
        <w:ind w:left="0" w:firstLine="0"/>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ab/>
        <w:tab/>
        <w:tab/>
        <w:tab/>
        <w:tab/>
        <w:tab/>
        <w:t xml:space="preserve">to attend!</w:t>
      </w:r>
    </w:p>
    <w:p w:rsidR="00000000" w:rsidDel="00000000" w:rsidP="00000000" w:rsidRDefault="00000000" w:rsidRPr="00000000" w14:paraId="00000007">
      <w:pPr>
        <w:ind w:left="0" w:firstLine="0"/>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8">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are excited to have Adrienne Gear in our district to share ideas from her new book </w:t>
      </w:r>
      <w:r w:rsidDel="00000000" w:rsidR="00000000" w:rsidRPr="00000000">
        <w:rPr>
          <w:rFonts w:ascii="Century Gothic" w:cs="Century Gothic" w:eastAsia="Century Gothic" w:hAnsi="Century Gothic"/>
          <w:b w:val="1"/>
          <w:i w:val="1"/>
          <w:sz w:val="22"/>
          <w:szCs w:val="22"/>
          <w:rtl w:val="0"/>
        </w:rPr>
        <w:t xml:space="preserve">“Powerful Understanding.”  </w:t>
      </w:r>
      <w:r w:rsidDel="00000000" w:rsidR="00000000" w:rsidRPr="00000000">
        <w:rPr>
          <w:rFonts w:ascii="Century Gothic" w:cs="Century Gothic" w:eastAsia="Century Gothic" w:hAnsi="Century Gothic"/>
          <w:sz w:val="22"/>
          <w:szCs w:val="22"/>
          <w:rtl w:val="0"/>
        </w:rPr>
        <w:t xml:space="preserve">In this session, she will explain the “Powerful Thinking” model and how it can be used to help students read, connect and reflect to deepen their understanding of themselves, others and the world.  Adrienne’s new book explores effective ways to build social-emotional skills as well as promoting critical thinking – two important core competencies of our new curriculum.  For those familiar with the Adrienne’s </w:t>
      </w:r>
      <w:r w:rsidDel="00000000" w:rsidR="00000000" w:rsidRPr="00000000">
        <w:rPr>
          <w:rFonts w:ascii="Century Gothic" w:cs="Century Gothic" w:eastAsia="Century Gothic" w:hAnsi="Century Gothic"/>
          <w:b w:val="1"/>
          <w:i w:val="1"/>
          <w:sz w:val="22"/>
          <w:szCs w:val="22"/>
          <w:rtl w:val="0"/>
        </w:rPr>
        <w:t xml:space="preserve">Reading Power</w:t>
      </w:r>
      <w:r w:rsidDel="00000000" w:rsidR="00000000" w:rsidRPr="00000000">
        <w:rPr>
          <w:rFonts w:ascii="Century Gothic" w:cs="Century Gothic" w:eastAsia="Century Gothic" w:hAnsi="Century Gothic"/>
          <w:sz w:val="22"/>
          <w:szCs w:val="22"/>
          <w:rtl w:val="0"/>
        </w:rPr>
        <w:t xml:space="preserve"> strategies, you will see how she has integrated them into this model to extend and deepen learning.  Adrienne will spend the first part of this workshop revisiting some of the key concepts of </w:t>
      </w:r>
      <w:r w:rsidDel="00000000" w:rsidR="00000000" w:rsidRPr="00000000">
        <w:rPr>
          <w:rFonts w:ascii="Century Gothic" w:cs="Century Gothic" w:eastAsia="Century Gothic" w:hAnsi="Century Gothic"/>
          <w:b w:val="1"/>
          <w:i w:val="1"/>
          <w:sz w:val="22"/>
          <w:szCs w:val="22"/>
          <w:rtl w:val="0"/>
        </w:rPr>
        <w:t xml:space="preserve">Reading Power</w:t>
      </w:r>
      <w:r w:rsidDel="00000000" w:rsidR="00000000" w:rsidRPr="00000000">
        <w:rPr>
          <w:rFonts w:ascii="Century Gothic" w:cs="Century Gothic" w:eastAsia="Century Gothic" w:hAnsi="Century Gothic"/>
          <w:sz w:val="22"/>
          <w:szCs w:val="22"/>
          <w:rtl w:val="0"/>
        </w:rPr>
        <w:t xml:space="preserve"> and later, show how she took this foundation of “deep understanding of text” to “deep understanding of learning”.  Adrienne will share lessons and student samples and, as always, you will come away with a list of great new anchor books!   Come to this session and leave inspired and ready to teach your students to think critically and reflectively AND be confident, compassionate and caring citizens!  It would be great to have school teams come out and join us for this important session! See registration details below.</w:t>
      </w:r>
    </w:p>
    <w:p w:rsidR="00000000" w:rsidDel="00000000" w:rsidP="00000000" w:rsidRDefault="00000000" w:rsidRPr="00000000" w14:paraId="00000009">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A">
      <w:pPr>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Date: January 25, 2019</w:t>
      </w:r>
    </w:p>
    <w:p w:rsidR="00000000" w:rsidDel="00000000" w:rsidP="00000000" w:rsidRDefault="00000000" w:rsidRPr="00000000" w14:paraId="0000000B">
      <w:pPr>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Time: 8:15 (coffee) 8:30 am-1:30 pm</w:t>
      </w:r>
    </w:p>
    <w:p w:rsidR="00000000" w:rsidDel="00000000" w:rsidP="00000000" w:rsidRDefault="00000000" w:rsidRPr="00000000" w14:paraId="0000000C">
      <w:pPr>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Location: North Peace Cultural Centre</w:t>
      </w:r>
    </w:p>
    <w:p w:rsidR="00000000" w:rsidDel="00000000" w:rsidP="00000000" w:rsidRDefault="00000000" w:rsidRPr="00000000" w14:paraId="0000000D">
      <w:pPr>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Please confirm your attendance with </w:t>
      </w:r>
      <w:hyperlink r:id="rId7">
        <w:r w:rsidDel="00000000" w:rsidR="00000000" w:rsidRPr="00000000">
          <w:rPr>
            <w:rFonts w:ascii="Century Gothic" w:cs="Century Gothic" w:eastAsia="Century Gothic" w:hAnsi="Century Gothic"/>
            <w:b w:val="1"/>
            <w:color w:val="1155cc"/>
            <w:sz w:val="22"/>
            <w:szCs w:val="22"/>
            <w:u w:val="single"/>
            <w:rtl w:val="0"/>
          </w:rPr>
          <w:t xml:space="preserve">cstones@prn.bc.ca</w:t>
        </w:r>
      </w:hyperlink>
      <w:r w:rsidDel="00000000" w:rsidR="00000000" w:rsidRPr="00000000">
        <w:rPr>
          <w:rFonts w:ascii="Century Gothic" w:cs="Century Gothic" w:eastAsia="Century Gothic" w:hAnsi="Century Gothic"/>
          <w:b w:val="1"/>
          <w:sz w:val="22"/>
          <w:szCs w:val="22"/>
          <w:rtl w:val="0"/>
        </w:rPr>
        <w:t xml:space="preserve"> by January 21, 2019.</w:t>
      </w:r>
      <w:r w:rsidDel="00000000" w:rsidR="00000000" w:rsidRPr="00000000">
        <w:rPr>
          <w:rFonts w:ascii="Century Gothic" w:cs="Century Gothic" w:eastAsia="Century Gothic" w:hAnsi="Century Gothic"/>
          <w:b w:val="1"/>
          <w:sz w:val="22"/>
          <w:szCs w:val="22"/>
          <w:rtl w:val="0"/>
        </w:rPr>
        <w:t xml:space="preserve"> </w:t>
      </w:r>
    </w:p>
    <w:p w:rsidR="00000000" w:rsidDel="00000000" w:rsidP="00000000" w:rsidRDefault="00000000" w:rsidRPr="00000000" w14:paraId="0000000E">
      <w:pPr>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Questions can be directed to Charmaine Chretien @ </w:t>
      </w:r>
      <w:hyperlink r:id="rId8">
        <w:r w:rsidDel="00000000" w:rsidR="00000000" w:rsidRPr="00000000">
          <w:rPr>
            <w:rFonts w:ascii="Century Gothic" w:cs="Century Gothic" w:eastAsia="Century Gothic" w:hAnsi="Century Gothic"/>
            <w:b w:val="1"/>
            <w:color w:val="1155cc"/>
            <w:sz w:val="22"/>
            <w:szCs w:val="22"/>
            <w:u w:val="single"/>
            <w:rtl w:val="0"/>
          </w:rPr>
          <w:t xml:space="preserve">cchretien@prn.bc.ca</w:t>
        </w:r>
      </w:hyperlink>
      <w:r w:rsidDel="00000000" w:rsidR="00000000" w:rsidRPr="00000000">
        <w:rPr>
          <w:rtl w:val="0"/>
        </w:rPr>
      </w:r>
    </w:p>
    <w:p w:rsidR="00000000" w:rsidDel="00000000" w:rsidP="00000000" w:rsidRDefault="00000000" w:rsidRPr="00000000" w14:paraId="0000000F">
      <w:pPr>
        <w:contextualSpacing w:val="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ind w:left="2160" w:firstLine="0"/>
        <w:contextualSpacing w:val="0"/>
        <w:jc w:val="both"/>
        <w:rPr>
          <w:rFonts w:ascii="Trebuchet MS" w:cs="Trebuchet MS" w:eastAsia="Trebuchet MS" w:hAnsi="Trebuchet MS"/>
          <w:b w:val="1"/>
          <w:sz w:val="20"/>
          <w:szCs w:val="20"/>
        </w:rPr>
      </w:pPr>
      <w:bookmarkStart w:colFirst="0" w:colLast="0" w:name="_a6687repl7j3"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-257174</wp:posOffset>
            </wp:positionH>
            <wp:positionV relativeFrom="paragraph">
              <wp:posOffset>163195</wp:posOffset>
            </wp:positionV>
            <wp:extent cx="1629410" cy="15811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29410" cy="1581150"/>
                    </a:xfrm>
                    <a:prstGeom prst="rect"/>
                    <a:ln/>
                  </pic:spPr>
                </pic:pic>
              </a:graphicData>
            </a:graphic>
          </wp:anchor>
        </w:drawing>
      </w:r>
    </w:p>
    <w:p w:rsidR="00000000" w:rsidDel="00000000" w:rsidP="00000000" w:rsidRDefault="00000000" w:rsidRPr="00000000" w14:paraId="00000012">
      <w:pPr>
        <w:ind w:left="2160" w:firstLine="0"/>
        <w:contextualSpacing w:val="0"/>
        <w:jc w:val="both"/>
        <w:rPr>
          <w:rFonts w:ascii="Trebuchet MS" w:cs="Trebuchet MS" w:eastAsia="Trebuchet MS" w:hAnsi="Trebuchet MS"/>
          <w:color w:val="000000"/>
          <w:sz w:val="20"/>
          <w:szCs w:val="20"/>
        </w:rPr>
      </w:pPr>
      <w:bookmarkStart w:colFirst="0" w:colLast="0" w:name="_j7ouiqoqntxv" w:id="1"/>
      <w:bookmarkEnd w:id="1"/>
      <w:r w:rsidDel="00000000" w:rsidR="00000000" w:rsidRPr="00000000">
        <w:rPr>
          <w:rFonts w:ascii="Trebuchet MS" w:cs="Trebuchet MS" w:eastAsia="Trebuchet MS" w:hAnsi="Trebuchet MS"/>
          <w:b w:val="1"/>
          <w:color w:val="000000"/>
          <w:sz w:val="20"/>
          <w:szCs w:val="20"/>
          <w:rtl w:val="0"/>
        </w:rPr>
        <w:t xml:space="preserve">Adrienne Gear </w:t>
      </w:r>
      <w:r w:rsidDel="00000000" w:rsidR="00000000" w:rsidRPr="00000000">
        <w:rPr>
          <w:rFonts w:ascii="Trebuchet MS" w:cs="Trebuchet MS" w:eastAsia="Trebuchet MS" w:hAnsi="Trebuchet MS"/>
          <w:color w:val="000000"/>
          <w:sz w:val="20"/>
          <w:szCs w:val="20"/>
          <w:rtl w:val="0"/>
        </w:rPr>
        <w:t xml:space="preserve">has been a teacher with the Vancouver School Board for over 25 years.  She has worked as a classroom teacher, teacher librarian and district Literacy Mentor.  She continues to teach part time, as well as provide professional workshops, demonstration lessons and leadership sessions to schools and districts throughout the province, country, and internationally.   Adrienne is the author of five other books: </w:t>
      </w:r>
      <w:r w:rsidDel="00000000" w:rsidR="00000000" w:rsidRPr="00000000">
        <w:rPr>
          <w:rFonts w:ascii="Trebuchet MS" w:cs="Trebuchet MS" w:eastAsia="Trebuchet MS" w:hAnsi="Trebuchet MS"/>
          <w:b w:val="1"/>
          <w:i w:val="1"/>
          <w:color w:val="000000"/>
          <w:sz w:val="20"/>
          <w:szCs w:val="20"/>
          <w:rtl w:val="0"/>
        </w:rPr>
        <w:t xml:space="preserve">Reading Power-Revised and Expanded </w:t>
      </w:r>
      <w:r w:rsidDel="00000000" w:rsidR="00000000" w:rsidRPr="00000000">
        <w:rPr>
          <w:rFonts w:ascii="Trebuchet MS" w:cs="Trebuchet MS" w:eastAsia="Trebuchet MS" w:hAnsi="Trebuchet MS"/>
          <w:color w:val="000000"/>
          <w:sz w:val="20"/>
          <w:szCs w:val="20"/>
          <w:rtl w:val="0"/>
        </w:rPr>
        <w:t xml:space="preserve">(Pembroke, 2015) </w:t>
      </w:r>
      <w:r w:rsidDel="00000000" w:rsidR="00000000" w:rsidRPr="00000000">
        <w:rPr>
          <w:rFonts w:ascii="Trebuchet MS" w:cs="Trebuchet MS" w:eastAsia="Trebuchet MS" w:hAnsi="Trebuchet MS"/>
          <w:b w:val="1"/>
          <w:i w:val="1"/>
          <w:color w:val="000000"/>
          <w:sz w:val="20"/>
          <w:szCs w:val="20"/>
          <w:rtl w:val="0"/>
        </w:rPr>
        <w:t xml:space="preserve">Nonfiction Reading Power</w:t>
      </w:r>
      <w:r w:rsidDel="00000000" w:rsidR="00000000" w:rsidRPr="00000000">
        <w:rPr>
          <w:rFonts w:ascii="Trebuchet MS" w:cs="Trebuchet MS" w:eastAsia="Trebuchet MS" w:hAnsi="Trebuchet MS"/>
          <w:color w:val="000000"/>
          <w:sz w:val="20"/>
          <w:szCs w:val="20"/>
          <w:rtl w:val="0"/>
        </w:rPr>
        <w:t xml:space="preserve"> (Pembroke, 2008), </w:t>
      </w:r>
      <w:r w:rsidDel="00000000" w:rsidR="00000000" w:rsidRPr="00000000">
        <w:rPr>
          <w:rFonts w:ascii="Trebuchet MS" w:cs="Trebuchet MS" w:eastAsia="Trebuchet MS" w:hAnsi="Trebuchet MS"/>
          <w:b w:val="1"/>
          <w:i w:val="1"/>
          <w:color w:val="000000"/>
          <w:sz w:val="20"/>
          <w:szCs w:val="20"/>
          <w:rtl w:val="0"/>
        </w:rPr>
        <w:t xml:space="preserve">Writing Power</w:t>
      </w:r>
      <w:r w:rsidDel="00000000" w:rsidR="00000000" w:rsidRPr="00000000">
        <w:rPr>
          <w:rFonts w:ascii="Trebuchet MS" w:cs="Trebuchet MS" w:eastAsia="Trebuchet MS" w:hAnsi="Trebuchet MS"/>
          <w:color w:val="000000"/>
          <w:sz w:val="20"/>
          <w:szCs w:val="20"/>
          <w:rtl w:val="0"/>
        </w:rPr>
        <w:t xml:space="preserve"> (Pembroke, 2011), </w:t>
      </w:r>
      <w:r w:rsidDel="00000000" w:rsidR="00000000" w:rsidRPr="00000000">
        <w:rPr>
          <w:rFonts w:ascii="Trebuchet MS" w:cs="Trebuchet MS" w:eastAsia="Trebuchet MS" w:hAnsi="Trebuchet MS"/>
          <w:b w:val="1"/>
          <w:i w:val="1"/>
          <w:color w:val="000000"/>
          <w:sz w:val="20"/>
          <w:szCs w:val="20"/>
          <w:rtl w:val="0"/>
        </w:rPr>
        <w:t xml:space="preserve">Nonfiction Writing Power</w:t>
      </w:r>
      <w:r w:rsidDel="00000000" w:rsidR="00000000" w:rsidRPr="00000000">
        <w:rPr>
          <w:rFonts w:ascii="Trebuchet MS" w:cs="Trebuchet MS" w:eastAsia="Trebuchet MS" w:hAnsi="Trebuchet MS"/>
          <w:color w:val="000000"/>
          <w:sz w:val="20"/>
          <w:szCs w:val="20"/>
          <w:rtl w:val="0"/>
        </w:rPr>
        <w:t xml:space="preserve"> (Pembroke, 2014), and </w:t>
      </w:r>
      <w:r w:rsidDel="00000000" w:rsidR="00000000" w:rsidRPr="00000000">
        <w:rPr>
          <w:rFonts w:ascii="Trebuchet MS" w:cs="Trebuchet MS" w:eastAsia="Trebuchet MS" w:hAnsi="Trebuchet MS"/>
          <w:b w:val="1"/>
          <w:i w:val="1"/>
          <w:color w:val="000000"/>
          <w:sz w:val="20"/>
          <w:szCs w:val="20"/>
          <w:rtl w:val="0"/>
        </w:rPr>
        <w:t xml:space="preserve">Powerful Readers for Secondary Students</w:t>
      </w:r>
      <w:r w:rsidDel="00000000" w:rsidR="00000000" w:rsidRPr="00000000">
        <w:rPr>
          <w:rFonts w:ascii="Trebuchet MS" w:cs="Trebuchet MS" w:eastAsia="Trebuchet MS" w:hAnsi="Trebuchet MS"/>
          <w:color w:val="000000"/>
          <w:sz w:val="20"/>
          <w:szCs w:val="20"/>
          <w:rtl w:val="0"/>
        </w:rPr>
        <w:t xml:space="preserve"> (2016). Her books have been translated into French, Swedish, Danish, and Chinese.  </w:t>
      </w:r>
    </w:p>
    <w:p w:rsidR="00000000" w:rsidDel="00000000" w:rsidP="00000000" w:rsidRDefault="00000000" w:rsidRPr="00000000" w14:paraId="00000013">
      <w:pPr>
        <w:ind w:left="2160" w:firstLine="0"/>
        <w:contextualSpacing w:val="0"/>
        <w:jc w:val="both"/>
        <w:rPr>
          <w:rFonts w:ascii="Trebuchet MS" w:cs="Trebuchet MS" w:eastAsia="Trebuchet MS" w:hAnsi="Trebuchet MS"/>
          <w:sz w:val="20"/>
          <w:szCs w:val="20"/>
        </w:rPr>
      </w:pPr>
      <w:bookmarkStart w:colFirst="0" w:colLast="0" w:name="_17rjgklee33l" w:id="2"/>
      <w:bookmarkEnd w:id="2"/>
      <w:r w:rsidDel="00000000" w:rsidR="00000000" w:rsidRPr="00000000">
        <w:rPr>
          <w:rtl w:val="0"/>
        </w:rPr>
      </w:r>
    </w:p>
    <w:p w:rsidR="00000000" w:rsidDel="00000000" w:rsidP="00000000" w:rsidRDefault="00000000" w:rsidRPr="00000000" w14:paraId="00000014">
      <w:pPr>
        <w:ind w:left="2160" w:firstLine="0"/>
        <w:contextualSpacing w:val="0"/>
        <w:jc w:val="both"/>
        <w:rPr>
          <w:rFonts w:ascii="Trebuchet MS" w:cs="Trebuchet MS" w:eastAsia="Trebuchet MS" w:hAnsi="Trebuchet MS"/>
          <w:sz w:val="20"/>
          <w:szCs w:val="20"/>
        </w:rPr>
      </w:pPr>
      <w:bookmarkStart w:colFirst="0" w:colLast="0" w:name="_qiglmsxmq432" w:id="3"/>
      <w:bookmarkEnd w:id="3"/>
      <w:r w:rsidDel="00000000" w:rsidR="00000000" w:rsidRPr="00000000">
        <w:rPr>
          <w:rtl w:val="0"/>
        </w:rPr>
      </w:r>
    </w:p>
    <w:p w:rsidR="00000000" w:rsidDel="00000000" w:rsidP="00000000" w:rsidRDefault="00000000" w:rsidRPr="00000000" w14:paraId="00000015">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Copies of Adrienne’s new book will be available to purchase at the workshop.   ($27.50 - cash, check or credit)</w:t>
      </w:r>
    </w:p>
    <w:p w:rsidR="00000000" w:rsidDel="00000000" w:rsidP="00000000" w:rsidRDefault="00000000" w:rsidRPr="00000000" w14:paraId="00000016">
      <w:pPr>
        <w:ind w:left="2160" w:firstLine="0"/>
        <w:contextualSpacing w:val="0"/>
        <w:jc w:val="both"/>
        <w:rPr>
          <w:rFonts w:ascii="Trebuchet MS" w:cs="Trebuchet MS" w:eastAsia="Trebuchet MS" w:hAnsi="Trebuchet MS"/>
          <w:sz w:val="20"/>
          <w:szCs w:val="20"/>
        </w:rPr>
      </w:pPr>
      <w:bookmarkStart w:colFirst="0" w:colLast="0" w:name="_gjdgxs" w:id="4"/>
      <w:bookmarkEnd w:id="4"/>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Jim Nightshad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cstones@prn.bc.ca" TargetMode="External"/><Relationship Id="rId8" Type="http://schemas.openxmlformats.org/officeDocument/2006/relationships/hyperlink" Target="mailto:cchretien@prn.b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